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3F" w:rsidRPr="005471F8" w:rsidRDefault="00CB43EF" w:rsidP="00865944">
      <w:pPr>
        <w:pStyle w:val="Default"/>
        <w:spacing w:after="120"/>
        <w:jc w:val="center"/>
        <w:rPr>
          <w:b/>
          <w:sz w:val="22"/>
          <w:szCs w:val="22"/>
        </w:rPr>
      </w:pPr>
      <w:r w:rsidRPr="005471F8">
        <w:rPr>
          <w:b/>
          <w:sz w:val="22"/>
          <w:szCs w:val="22"/>
        </w:rPr>
        <w:t>KEY FEDERAL ACTS</w:t>
      </w:r>
    </w:p>
    <w:tbl>
      <w:tblPr>
        <w:tblStyle w:val="LightShading-Accent5"/>
        <w:tblW w:w="0" w:type="auto"/>
        <w:tblLook w:val="04A0" w:firstRow="1" w:lastRow="0" w:firstColumn="1" w:lastColumn="0" w:noHBand="0" w:noVBand="1"/>
      </w:tblPr>
      <w:tblGrid>
        <w:gridCol w:w="4225"/>
        <w:gridCol w:w="8640"/>
      </w:tblGrid>
      <w:tr w:rsidR="004A583F" w:rsidRPr="005471F8" w:rsidTr="005471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rsidR="004A583F" w:rsidRPr="005471F8" w:rsidRDefault="004A583F" w:rsidP="00BE3A94">
            <w:pPr>
              <w:pStyle w:val="Default"/>
              <w:spacing w:after="120"/>
              <w:rPr>
                <w:color w:val="auto"/>
                <w:sz w:val="22"/>
                <w:szCs w:val="22"/>
              </w:rPr>
            </w:pPr>
            <w:r w:rsidRPr="005471F8">
              <w:rPr>
                <w:color w:val="auto"/>
                <w:sz w:val="22"/>
                <w:szCs w:val="22"/>
              </w:rPr>
              <w:t>Name of Act</w:t>
            </w:r>
          </w:p>
        </w:tc>
        <w:tc>
          <w:tcPr>
            <w:tcW w:w="8640" w:type="dxa"/>
          </w:tcPr>
          <w:p w:rsidR="004A583F" w:rsidRPr="005471F8" w:rsidRDefault="004A583F" w:rsidP="00BE3A94">
            <w:pPr>
              <w:pStyle w:val="Default"/>
              <w:spacing w:after="120"/>
              <w:cnfStyle w:val="100000000000" w:firstRow="1" w:lastRow="0" w:firstColumn="0" w:lastColumn="0" w:oddVBand="0" w:evenVBand="0" w:oddHBand="0" w:evenHBand="0" w:firstRowFirstColumn="0" w:firstRowLastColumn="0" w:lastRowFirstColumn="0" w:lastRowLastColumn="0"/>
              <w:rPr>
                <w:color w:val="auto"/>
                <w:sz w:val="22"/>
                <w:szCs w:val="22"/>
              </w:rPr>
            </w:pPr>
            <w:r w:rsidRPr="005471F8">
              <w:rPr>
                <w:color w:val="auto"/>
                <w:sz w:val="22"/>
                <w:szCs w:val="22"/>
              </w:rPr>
              <w:t>Brief Description</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Americans with Disabilities Act (“ADA”) (1990) 42 U.S.C. Sec. 12101</w:t>
            </w:r>
          </w:p>
        </w:tc>
        <w:tc>
          <w:tcPr>
            <w:tcW w:w="8640" w:type="dxa"/>
          </w:tcPr>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Affects the employment, training, potion, compensation and termination policies for every employer having 25 or more employees; requires ADA accommodations for businesses open to the public; An employer can avoid liability for compensatory or punitive damages, if it demonstrates a “good-faith-effort” to provide reasonable accommodations.</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color w:val="auto"/>
              </w:rPr>
            </w:pPr>
            <w:r w:rsidRPr="005471F8">
              <w:rPr>
                <w:rFonts w:ascii="Arial" w:hAnsi="Arial" w:cs="Arial"/>
                <w:b w:val="0"/>
                <w:color w:val="auto"/>
              </w:rPr>
              <w:t>Consumer Credit Protection Act</w:t>
            </w:r>
          </w:p>
        </w:tc>
        <w:tc>
          <w:tcPr>
            <w:tcW w:w="8640" w:type="dxa"/>
          </w:tcPr>
          <w:p w:rsidR="005471F8" w:rsidRPr="005471F8" w:rsidRDefault="005471F8" w:rsidP="00BE3A94">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471F8">
              <w:rPr>
                <w:rFonts w:ascii="Arial" w:hAnsi="Arial" w:cs="Arial"/>
                <w:color w:val="auto"/>
              </w:rPr>
              <w:t xml:space="preserve">Prohibits an employer from discharging any employee because their earnings are subject to a garnishment </w:t>
            </w:r>
            <w:proofErr w:type="gramStart"/>
            <w:r w:rsidRPr="005471F8">
              <w:rPr>
                <w:rFonts w:ascii="Arial" w:hAnsi="Arial" w:cs="Arial"/>
                <w:color w:val="auto"/>
              </w:rPr>
              <w:t>for any one indebtedness</w:t>
            </w:r>
            <w:proofErr w:type="gramEnd"/>
            <w:r w:rsidRPr="005471F8">
              <w:rPr>
                <w:rFonts w:ascii="Arial" w:hAnsi="Arial" w:cs="Arial"/>
                <w:color w:val="auto"/>
              </w:rPr>
              <w:t>.</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 xml:space="preserve">Drug-Free Workplace Act of 1988 </w:t>
            </w:r>
          </w:p>
        </w:tc>
        <w:tc>
          <w:tcPr>
            <w:tcW w:w="8640" w:type="dxa"/>
          </w:tcPr>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 xml:space="preserve">Employee Retirement Income Security Act of 1974 (“ERISA”) </w:t>
            </w:r>
          </w:p>
        </w:tc>
        <w:tc>
          <w:tcPr>
            <w:tcW w:w="8640" w:type="dxa"/>
          </w:tcPr>
          <w:p w:rsidR="005471F8" w:rsidRPr="005471F8" w:rsidRDefault="005471F8" w:rsidP="00BE3A94">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5471F8">
              <w:rPr>
                <w:color w:val="auto"/>
                <w:sz w:val="22"/>
                <w:szCs w:val="22"/>
              </w:rPr>
              <w:t>Governs pension and health and welfare benefits plans</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Equal Employment Opportunity Commission</w:t>
            </w:r>
          </w:p>
        </w:tc>
        <w:tc>
          <w:tcPr>
            <w:tcW w:w="8640" w:type="dxa"/>
          </w:tcPr>
          <w:p w:rsidR="005471F8" w:rsidRPr="005471F8" w:rsidRDefault="005471F8" w:rsidP="0086594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Defines sexual harassment as the unwelcome sexual advances, requests for sexual favors and other verbal or physical conduct of a sexual nature.  Protects against retaliation of reporters.</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 xml:space="preserve">Equal Pay Act </w:t>
            </w:r>
            <w:r w:rsidRPr="005471F8">
              <w:rPr>
                <w:b w:val="0"/>
                <w:color w:val="auto"/>
                <w:sz w:val="22"/>
                <w:szCs w:val="22"/>
              </w:rPr>
              <w:t>(</w:t>
            </w:r>
            <w:r w:rsidRPr="005471F8">
              <w:rPr>
                <w:b w:val="0"/>
                <w:color w:val="auto"/>
                <w:sz w:val="22"/>
                <w:szCs w:val="22"/>
              </w:rPr>
              <w:t>Executive Order 11246</w:t>
            </w:r>
            <w:r w:rsidRPr="005471F8">
              <w:rPr>
                <w:b w:val="0"/>
                <w:color w:val="auto"/>
                <w:sz w:val="22"/>
                <w:szCs w:val="22"/>
              </w:rPr>
              <w:t>)</w:t>
            </w:r>
          </w:p>
        </w:tc>
        <w:tc>
          <w:tcPr>
            <w:tcW w:w="8640" w:type="dxa"/>
          </w:tcPr>
          <w:p w:rsidR="005471F8" w:rsidRPr="005471F8" w:rsidRDefault="005471F8" w:rsidP="00BE3A94">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5471F8">
              <w:rPr>
                <w:color w:val="auto"/>
                <w:sz w:val="22"/>
                <w:szCs w:val="22"/>
              </w:rPr>
              <w:t>Requires men and women receive equal pay for equal work for substantially the same work, skill, effort and responsibility, unless there is a seniority system, merit system, system that measures earnings by quantity or qualify of production or any factor other than sex.</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 xml:space="preserve">Fair Credit Reporting Act </w:t>
            </w:r>
          </w:p>
        </w:tc>
        <w:tc>
          <w:tcPr>
            <w:tcW w:w="8640" w:type="dxa"/>
          </w:tcPr>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Governs the activities of consumer reporting agencies and users of information procured from such agencies to ensure its use in a manner that is fair and equitable to the consumer.</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Fair Labor Standards Act (FLSA)</w:t>
            </w:r>
          </w:p>
        </w:tc>
        <w:tc>
          <w:tcPr>
            <w:tcW w:w="8640" w:type="dxa"/>
          </w:tcPr>
          <w:p w:rsidR="005471F8" w:rsidRPr="005471F8" w:rsidRDefault="005471F8" w:rsidP="00BE3A94">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5471F8">
              <w:rPr>
                <w:color w:val="auto"/>
                <w:sz w:val="22"/>
                <w:szCs w:val="22"/>
              </w:rPr>
              <w:t xml:space="preserve">Fed law sets min wage standard, overtime pay after 40 </w:t>
            </w:r>
            <w:proofErr w:type="spellStart"/>
            <w:r w:rsidRPr="005471F8">
              <w:rPr>
                <w:color w:val="auto"/>
                <w:sz w:val="22"/>
                <w:szCs w:val="22"/>
              </w:rPr>
              <w:t>yrs</w:t>
            </w:r>
            <w:proofErr w:type="spellEnd"/>
            <w:r w:rsidRPr="005471F8">
              <w:rPr>
                <w:color w:val="auto"/>
                <w:sz w:val="22"/>
                <w:szCs w:val="22"/>
              </w:rPr>
              <w:t xml:space="preserve"> at time &amp; ½ </w:t>
            </w:r>
            <w:proofErr w:type="gramStart"/>
            <w:r w:rsidRPr="005471F8">
              <w:rPr>
                <w:color w:val="auto"/>
                <w:sz w:val="22"/>
                <w:szCs w:val="22"/>
              </w:rPr>
              <w:t>rate</w:t>
            </w:r>
            <w:proofErr w:type="gramEnd"/>
            <w:r w:rsidRPr="005471F8">
              <w:rPr>
                <w:color w:val="auto"/>
                <w:sz w:val="22"/>
                <w:szCs w:val="22"/>
              </w:rPr>
              <w:t>; with exception of exempt employees.</w:t>
            </w:r>
          </w:p>
          <w:p w:rsidR="005471F8" w:rsidRPr="005471F8" w:rsidRDefault="005471F8" w:rsidP="00BE3A94">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5471F8">
              <w:rPr>
                <w:color w:val="auto"/>
                <w:sz w:val="22"/>
                <w:szCs w:val="22"/>
              </w:rPr>
              <w:t>(2004 Amendment) change most paralegals from exempt to non-exempt status.</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F93D90">
            <w:pPr>
              <w:pStyle w:val="Default"/>
              <w:spacing w:after="120"/>
              <w:rPr>
                <w:b w:val="0"/>
                <w:color w:val="auto"/>
                <w:sz w:val="22"/>
                <w:szCs w:val="22"/>
              </w:rPr>
            </w:pPr>
            <w:r w:rsidRPr="005471F8">
              <w:rPr>
                <w:b w:val="0"/>
                <w:color w:val="auto"/>
                <w:sz w:val="22"/>
                <w:szCs w:val="22"/>
              </w:rPr>
              <w:t xml:space="preserve">Age Discrimination in Employment Act of 1967 (“ADEA”) </w:t>
            </w:r>
          </w:p>
        </w:tc>
        <w:tc>
          <w:tcPr>
            <w:tcW w:w="8640" w:type="dxa"/>
          </w:tcPr>
          <w:p w:rsidR="005471F8" w:rsidRPr="005471F8" w:rsidRDefault="005471F8" w:rsidP="00F93D90">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Prohibits discrimination of employees 40+</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F93D90">
            <w:pPr>
              <w:pStyle w:val="Default"/>
              <w:spacing w:after="120"/>
              <w:rPr>
                <w:b w:val="0"/>
                <w:color w:val="auto"/>
                <w:sz w:val="22"/>
                <w:szCs w:val="22"/>
              </w:rPr>
            </w:pPr>
            <w:r w:rsidRPr="005471F8">
              <w:rPr>
                <w:b w:val="0"/>
                <w:color w:val="auto"/>
                <w:sz w:val="22"/>
                <w:szCs w:val="22"/>
              </w:rPr>
              <w:t>Older Workers Benefit Protection Act (Amends ADEA)</w:t>
            </w:r>
          </w:p>
        </w:tc>
        <w:tc>
          <w:tcPr>
            <w:tcW w:w="8640" w:type="dxa"/>
          </w:tcPr>
          <w:p w:rsidR="005471F8" w:rsidRPr="005471F8" w:rsidRDefault="005471F8" w:rsidP="00F93D90">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5471F8">
              <w:rPr>
                <w:color w:val="auto"/>
                <w:sz w:val="22"/>
                <w:szCs w:val="22"/>
              </w:rPr>
              <w:t>Prohibits mandatory retirement at any age, with exception of Executives: 65+, held position for at least two preceding years, and entitled to at least $44K annual retirement income.</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 xml:space="preserve">Family and Medical Leave Act of 1993 (“FMLA”) </w:t>
            </w:r>
          </w:p>
        </w:tc>
        <w:tc>
          <w:tcPr>
            <w:tcW w:w="8640" w:type="dxa"/>
          </w:tcPr>
          <w:p w:rsidR="005471F8" w:rsidRPr="005471F8" w:rsidRDefault="005471F8" w:rsidP="005471F8">
            <w:pPr>
              <w:pStyle w:val="Default"/>
              <w:keepNext/>
              <w:keepLines/>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 xml:space="preserve">Employees of same employer for at least 1 year and 1250 hours within last 12 months are entitled to 12 weeks unpaid leave during any 12m period for: new child (birth or </w:t>
            </w:r>
            <w:r w:rsidRPr="005471F8">
              <w:rPr>
                <w:color w:val="auto"/>
                <w:sz w:val="22"/>
                <w:szCs w:val="22"/>
              </w:rPr>
              <w:lastRenderedPageBreak/>
              <w:t>adoption/foster care), spouse, child or parent health condition; or serious health condition of employee.</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color w:val="auto"/>
              </w:rPr>
            </w:pPr>
            <w:r w:rsidRPr="005471F8">
              <w:rPr>
                <w:rFonts w:ascii="Arial" w:hAnsi="Arial" w:cs="Arial"/>
                <w:b w:val="0"/>
                <w:color w:val="auto"/>
              </w:rPr>
              <w:lastRenderedPageBreak/>
              <w:t>Freedom of Information Act of 1966 (“FOIA”) 5 U.S.C. § 552.</w:t>
            </w:r>
          </w:p>
        </w:tc>
        <w:tc>
          <w:tcPr>
            <w:tcW w:w="8640" w:type="dxa"/>
          </w:tcPr>
          <w:p w:rsidR="005471F8" w:rsidRPr="005471F8" w:rsidRDefault="001263C1" w:rsidP="004A583F">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471F8">
              <w:rPr>
                <w:rFonts w:ascii="Arial" w:hAnsi="Arial" w:cs="Arial"/>
                <w:color w:val="auto"/>
              </w:rPr>
              <w:t>Gives</w:t>
            </w:r>
            <w:r w:rsidR="005471F8" w:rsidRPr="005471F8">
              <w:rPr>
                <w:rFonts w:ascii="Arial" w:hAnsi="Arial" w:cs="Arial"/>
                <w:color w:val="auto"/>
              </w:rPr>
              <w:t xml:space="preserve"> citizen</w:t>
            </w:r>
            <w:r>
              <w:rPr>
                <w:rFonts w:ascii="Arial" w:hAnsi="Arial" w:cs="Arial"/>
                <w:color w:val="auto"/>
              </w:rPr>
              <w:t>s</w:t>
            </w:r>
            <w:r w:rsidR="005471F8" w:rsidRPr="005471F8">
              <w:rPr>
                <w:rFonts w:ascii="Arial" w:hAnsi="Arial" w:cs="Arial"/>
                <w:color w:val="auto"/>
              </w:rPr>
              <w:t xml:space="preserve"> the right to access information and records from the federal government, except to the extent that such records (or portions of records) are protected from disclosure. A FOIA request can be made to any FEDERAL agency.  There is a 20 day clause for FOI. Within 20 days after receipt of the request, the agency is required by law to respond to your request – not necessary provide the documents</w:t>
            </w:r>
          </w:p>
          <w:p w:rsidR="005471F8" w:rsidRPr="005471F8" w:rsidRDefault="005471F8" w:rsidP="004A583F">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471F8">
              <w:rPr>
                <w:rFonts w:ascii="Arial" w:hAnsi="Arial" w:cs="Arial"/>
                <w:color w:val="auto"/>
              </w:rPr>
              <w:t xml:space="preserve">Each agency’s website contains information about the types of records </w:t>
            </w:r>
            <w:proofErr w:type="gramStart"/>
            <w:r w:rsidRPr="005471F8">
              <w:rPr>
                <w:rFonts w:ascii="Arial" w:hAnsi="Arial" w:cs="Arial"/>
                <w:color w:val="auto"/>
              </w:rPr>
              <w:t>maintained,</w:t>
            </w:r>
            <w:proofErr w:type="gramEnd"/>
            <w:r w:rsidRPr="005471F8">
              <w:rPr>
                <w:rFonts w:ascii="Arial" w:hAnsi="Arial" w:cs="Arial"/>
                <w:color w:val="auto"/>
              </w:rPr>
              <w:t xml:space="preserve"> some commonly requested agency information and data, as well as procedures for making a FOIA request. Be sure to check all the tabs and perform searches to determine if the information sought is publically available through the agency’s website. If not, check out that agency’s procedures for making a FOIA request. </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bCs w:val="0"/>
                <w:iCs/>
                <w:color w:val="auto"/>
              </w:rPr>
            </w:pPr>
            <w:r w:rsidRPr="005471F8">
              <w:rPr>
                <w:rFonts w:ascii="Arial" w:hAnsi="Arial" w:cs="Arial"/>
                <w:b w:val="0"/>
                <w:bCs w:val="0"/>
                <w:iCs/>
                <w:color w:val="auto"/>
              </w:rPr>
              <w:t>Immigration Reform and Control Act, 8 U.S.C. 1101 et seq.</w:t>
            </w:r>
          </w:p>
        </w:tc>
        <w:tc>
          <w:tcPr>
            <w:tcW w:w="8640" w:type="dxa"/>
          </w:tcPr>
          <w:p w:rsidR="005471F8" w:rsidRPr="005471F8" w:rsidRDefault="005471F8" w:rsidP="00BE3A9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471F8">
              <w:rPr>
                <w:rFonts w:ascii="Arial" w:hAnsi="Arial" w:cs="Arial"/>
                <w:color w:val="auto"/>
              </w:rPr>
              <w:t>Asking interviewee wrong question can result in discrimination suite.  Improper questions: age, marital status, religion, medical conditions, family information or if ever received workers’ compensation.  May ask if a U.S. citizen.</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color w:val="auto"/>
              </w:rPr>
            </w:pPr>
            <w:r w:rsidRPr="005471F8">
              <w:rPr>
                <w:rFonts w:ascii="Arial" w:hAnsi="Arial" w:cs="Arial"/>
                <w:b w:val="0"/>
                <w:color w:val="auto"/>
              </w:rPr>
              <w:t>Jury System Improvement Act</w:t>
            </w:r>
          </w:p>
        </w:tc>
        <w:tc>
          <w:tcPr>
            <w:tcW w:w="8640" w:type="dxa"/>
          </w:tcPr>
          <w:p w:rsidR="005471F8" w:rsidRPr="005471F8" w:rsidRDefault="005471F8" w:rsidP="004A583F">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471F8">
              <w:rPr>
                <w:rFonts w:ascii="Arial" w:hAnsi="Arial" w:cs="Arial"/>
                <w:color w:val="auto"/>
              </w:rPr>
              <w:t>Protects employees from discrimination for their attendance or schedules attendance in connection with jury service.  Employees cannot be penalized for jury service.</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pStyle w:val="Default"/>
              <w:spacing w:after="120"/>
              <w:rPr>
                <w:b w:val="0"/>
                <w:color w:val="auto"/>
                <w:sz w:val="22"/>
                <w:szCs w:val="22"/>
              </w:rPr>
            </w:pPr>
            <w:r w:rsidRPr="005471F8">
              <w:rPr>
                <w:b w:val="0"/>
                <w:color w:val="auto"/>
                <w:sz w:val="22"/>
                <w:szCs w:val="22"/>
              </w:rPr>
              <w:t xml:space="preserve">Occupational Safety and Health Act (“OSHA”) </w:t>
            </w:r>
          </w:p>
        </w:tc>
        <w:tc>
          <w:tcPr>
            <w:tcW w:w="8640" w:type="dxa"/>
          </w:tcPr>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To ensure safe and healthful working conditions for every working man and woman in the nation.</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color w:val="auto"/>
              </w:rPr>
            </w:pPr>
            <w:r w:rsidRPr="005471F8">
              <w:rPr>
                <w:rFonts w:ascii="Arial" w:hAnsi="Arial" w:cs="Arial"/>
                <w:b w:val="0"/>
                <w:color w:val="auto"/>
              </w:rPr>
              <w:t>The United State Bankruptcy Code</w:t>
            </w:r>
          </w:p>
        </w:tc>
        <w:tc>
          <w:tcPr>
            <w:tcW w:w="8640" w:type="dxa"/>
          </w:tcPr>
          <w:p w:rsidR="005471F8" w:rsidRPr="005471F8" w:rsidRDefault="005471F8" w:rsidP="004A583F">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471F8">
              <w:rPr>
                <w:rFonts w:ascii="Arial" w:hAnsi="Arial" w:cs="Arial"/>
                <w:color w:val="auto"/>
              </w:rPr>
              <w:t>Prohibits private employers from termination the employment of, or discriminating against, any individual who is or has been a debtor to a bankruptcy proceeding.</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1263C1">
            <w:pPr>
              <w:pStyle w:val="Default"/>
              <w:pageBreakBefore/>
              <w:spacing w:after="120"/>
              <w:rPr>
                <w:b w:val="0"/>
                <w:color w:val="auto"/>
                <w:sz w:val="22"/>
                <w:szCs w:val="22"/>
              </w:rPr>
            </w:pPr>
            <w:r w:rsidRPr="005471F8">
              <w:rPr>
                <w:b w:val="0"/>
                <w:color w:val="auto"/>
                <w:sz w:val="22"/>
                <w:szCs w:val="22"/>
              </w:rPr>
              <w:lastRenderedPageBreak/>
              <w:t xml:space="preserve">Title VII, Civil Rights Act of 1964 </w:t>
            </w:r>
          </w:p>
        </w:tc>
        <w:tc>
          <w:tcPr>
            <w:tcW w:w="8640" w:type="dxa"/>
          </w:tcPr>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 xml:space="preserve">Non-discrimination based upon race, color, religion, se or national </w:t>
            </w:r>
            <w:proofErr w:type="spellStart"/>
            <w:r w:rsidRPr="005471F8">
              <w:rPr>
                <w:color w:val="auto"/>
                <w:sz w:val="22"/>
                <w:szCs w:val="22"/>
              </w:rPr>
              <w:t>orgin</w:t>
            </w:r>
            <w:proofErr w:type="spellEnd"/>
            <w:r w:rsidRPr="005471F8">
              <w:rPr>
                <w:color w:val="auto"/>
                <w:sz w:val="22"/>
                <w:szCs w:val="22"/>
              </w:rPr>
              <w:t>.  Prohibits sexual Harassment and pregnancy discrimination by limiting, segregation or classifying employees.</w:t>
            </w:r>
          </w:p>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 xml:space="preserve">1991 Act – Amended 5 Related Acts and effectively reversed several US Supreme Court decisions that had harrowed the scope of those statues. </w:t>
            </w:r>
          </w:p>
          <w:p w:rsidR="005471F8" w:rsidRPr="005471F8" w:rsidRDefault="005471F8" w:rsidP="00BE3A94">
            <w:pPr>
              <w:pStyle w:val="Default"/>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Key provision – adds new awards for compensatory and punitive damages for victims who were intentional discriminated against.  Set the following caps:</w:t>
            </w:r>
          </w:p>
          <w:p w:rsidR="005471F8" w:rsidRPr="005471F8" w:rsidRDefault="005471F8" w:rsidP="00865944">
            <w:pPr>
              <w:pStyle w:val="Default"/>
              <w:tabs>
                <w:tab w:val="left" w:pos="2987"/>
              </w:tabs>
              <w:ind w:left="725"/>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15-100 employees</w:t>
            </w:r>
            <w:r w:rsidRPr="005471F8">
              <w:rPr>
                <w:color w:val="auto"/>
                <w:sz w:val="22"/>
                <w:szCs w:val="22"/>
              </w:rPr>
              <w:tab/>
              <w:t>$50,000;</w:t>
            </w:r>
          </w:p>
          <w:p w:rsidR="005471F8" w:rsidRPr="005471F8" w:rsidRDefault="005471F8" w:rsidP="00865944">
            <w:pPr>
              <w:pStyle w:val="Default"/>
              <w:tabs>
                <w:tab w:val="left" w:pos="2987"/>
              </w:tabs>
              <w:ind w:left="725"/>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101-200</w:t>
            </w:r>
            <w:r w:rsidRPr="005471F8">
              <w:rPr>
                <w:color w:val="auto"/>
                <w:sz w:val="22"/>
                <w:szCs w:val="22"/>
              </w:rPr>
              <w:tab/>
              <w:t>$100,000</w:t>
            </w:r>
          </w:p>
          <w:p w:rsidR="005471F8" w:rsidRPr="005471F8" w:rsidRDefault="005471F8" w:rsidP="00865944">
            <w:pPr>
              <w:pStyle w:val="Default"/>
              <w:tabs>
                <w:tab w:val="left" w:pos="2987"/>
              </w:tabs>
              <w:ind w:left="725"/>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201-500</w:t>
            </w:r>
            <w:r w:rsidRPr="005471F8">
              <w:rPr>
                <w:color w:val="auto"/>
                <w:sz w:val="22"/>
                <w:szCs w:val="22"/>
              </w:rPr>
              <w:tab/>
              <w:t>$200,000</w:t>
            </w:r>
          </w:p>
          <w:p w:rsidR="005471F8" w:rsidRPr="005471F8" w:rsidRDefault="005471F8" w:rsidP="00865944">
            <w:pPr>
              <w:pStyle w:val="Default"/>
              <w:tabs>
                <w:tab w:val="left" w:pos="2987"/>
              </w:tabs>
              <w:ind w:left="725"/>
              <w:cnfStyle w:val="000000100000" w:firstRow="0" w:lastRow="0" w:firstColumn="0" w:lastColumn="0" w:oddVBand="0" w:evenVBand="0" w:oddHBand="1" w:evenHBand="0" w:firstRowFirstColumn="0" w:firstRowLastColumn="0" w:lastRowFirstColumn="0" w:lastRowLastColumn="0"/>
              <w:rPr>
                <w:color w:val="auto"/>
                <w:sz w:val="22"/>
                <w:szCs w:val="22"/>
              </w:rPr>
            </w:pPr>
            <w:r w:rsidRPr="005471F8">
              <w:rPr>
                <w:color w:val="auto"/>
                <w:sz w:val="22"/>
                <w:szCs w:val="22"/>
              </w:rPr>
              <w:t>500+</w:t>
            </w:r>
            <w:r w:rsidRPr="005471F8">
              <w:rPr>
                <w:color w:val="auto"/>
                <w:sz w:val="22"/>
                <w:szCs w:val="22"/>
              </w:rPr>
              <w:tab/>
              <w:t>$300,000</w:t>
            </w: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color w:val="auto"/>
              </w:rPr>
            </w:pPr>
            <w:r w:rsidRPr="005471F8">
              <w:rPr>
                <w:rFonts w:ascii="Arial" w:hAnsi="Arial" w:cs="Arial"/>
                <w:b w:val="0"/>
                <w:i/>
                <w:iCs/>
                <w:color w:val="auto"/>
              </w:rPr>
              <w:t>Uniform Child Custody Jurisdictional Act (“UCCJA”)</w:t>
            </w:r>
          </w:p>
        </w:tc>
        <w:tc>
          <w:tcPr>
            <w:tcW w:w="8640" w:type="dxa"/>
          </w:tcPr>
          <w:p w:rsidR="005471F8" w:rsidRPr="005471F8" w:rsidRDefault="005471F8" w:rsidP="00BE3A94">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5471F8">
              <w:rPr>
                <w:rFonts w:ascii="Arial" w:hAnsi="Arial" w:cs="Arial"/>
                <w:color w:val="auto"/>
              </w:rPr>
              <w:t>establishes guidelines for determining jurisdiction and provides for cooperation between states in the enforcement of child custody orders</w:t>
            </w:r>
          </w:p>
        </w:tc>
      </w:tr>
      <w:tr w:rsidR="005471F8" w:rsidRPr="005471F8" w:rsidTr="0054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bCs w:val="0"/>
                <w:i/>
                <w:iCs/>
                <w:color w:val="auto"/>
              </w:rPr>
            </w:pPr>
            <w:r w:rsidRPr="005471F8">
              <w:rPr>
                <w:rFonts w:ascii="Arial" w:hAnsi="Arial" w:cs="Arial"/>
                <w:b w:val="0"/>
                <w:i/>
                <w:iCs/>
                <w:color w:val="auto"/>
              </w:rPr>
              <w:t>Uniform Commercial Code (UCC)</w:t>
            </w:r>
          </w:p>
        </w:tc>
        <w:tc>
          <w:tcPr>
            <w:tcW w:w="8640" w:type="dxa"/>
          </w:tcPr>
          <w:p w:rsidR="005471F8" w:rsidRPr="005471F8" w:rsidRDefault="005471F8" w:rsidP="00BE3A9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5471F8" w:rsidRPr="005471F8" w:rsidTr="005471F8">
        <w:tc>
          <w:tcPr>
            <w:cnfStyle w:val="001000000000" w:firstRow="0" w:lastRow="0" w:firstColumn="1" w:lastColumn="0" w:oddVBand="0" w:evenVBand="0" w:oddHBand="0" w:evenHBand="0" w:firstRowFirstColumn="0" w:firstRowLastColumn="0" w:lastRowFirstColumn="0" w:lastRowLastColumn="0"/>
            <w:tcW w:w="4225" w:type="dxa"/>
          </w:tcPr>
          <w:p w:rsidR="005471F8" w:rsidRPr="005471F8" w:rsidRDefault="005471F8" w:rsidP="00BE3A94">
            <w:pPr>
              <w:spacing w:after="120"/>
              <w:rPr>
                <w:rFonts w:ascii="Arial" w:hAnsi="Arial" w:cs="Arial"/>
                <w:b w:val="0"/>
                <w:bCs w:val="0"/>
                <w:i/>
                <w:iCs/>
                <w:color w:val="auto"/>
              </w:rPr>
            </w:pPr>
            <w:r w:rsidRPr="005471F8">
              <w:rPr>
                <w:rFonts w:ascii="Arial" w:hAnsi="Arial" w:cs="Arial"/>
                <w:b w:val="0"/>
                <w:i/>
                <w:iCs/>
                <w:color w:val="auto"/>
              </w:rPr>
              <w:t>Uniform Reciprocal Enforcement of Support Act (“URESA”)</w:t>
            </w:r>
          </w:p>
        </w:tc>
        <w:tc>
          <w:tcPr>
            <w:tcW w:w="8640" w:type="dxa"/>
          </w:tcPr>
          <w:p w:rsidR="005471F8" w:rsidRPr="005471F8" w:rsidRDefault="005471F8" w:rsidP="00BE3A94">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gramStart"/>
            <w:r w:rsidRPr="005471F8">
              <w:rPr>
                <w:rFonts w:ascii="Arial" w:hAnsi="Arial" w:cs="Arial"/>
                <w:color w:val="auto"/>
              </w:rPr>
              <w:t>has</w:t>
            </w:r>
            <w:proofErr w:type="gramEnd"/>
            <w:r w:rsidRPr="005471F8">
              <w:rPr>
                <w:rFonts w:ascii="Arial" w:hAnsi="Arial" w:cs="Arial"/>
                <w:color w:val="auto"/>
              </w:rPr>
              <w:t xml:space="preserve"> now been adopted by all states and is a pact that states will assist one another in enforcing support orders.</w:t>
            </w:r>
          </w:p>
        </w:tc>
      </w:tr>
    </w:tbl>
    <w:p w:rsidR="004A583F" w:rsidRPr="005471F8" w:rsidRDefault="004A583F" w:rsidP="004A583F">
      <w:pPr>
        <w:spacing w:after="120" w:line="240" w:lineRule="auto"/>
        <w:rPr>
          <w:rFonts w:ascii="Arial" w:hAnsi="Arial" w:cs="Arial"/>
          <w:b/>
        </w:rPr>
      </w:pPr>
    </w:p>
    <w:p w:rsidR="004600D4" w:rsidRDefault="004600D4">
      <w:pPr>
        <w:rPr>
          <w:rFonts w:ascii="Arial" w:hAnsi="Arial" w:cs="Arial"/>
          <w:b/>
        </w:rPr>
      </w:pPr>
      <w:r>
        <w:rPr>
          <w:rFonts w:ascii="Arial" w:hAnsi="Arial" w:cs="Arial"/>
          <w:b/>
        </w:rPr>
        <w:br w:type="page"/>
      </w:r>
      <w:bookmarkStart w:id="0" w:name="_GoBack"/>
      <w:bookmarkEnd w:id="0"/>
    </w:p>
    <w:p w:rsidR="004A583F" w:rsidRPr="005471F8" w:rsidRDefault="004A583F" w:rsidP="00846793">
      <w:pPr>
        <w:spacing w:after="120" w:line="240" w:lineRule="auto"/>
        <w:jc w:val="center"/>
        <w:rPr>
          <w:rFonts w:ascii="Arial" w:hAnsi="Arial" w:cs="Arial"/>
          <w:b/>
        </w:rPr>
      </w:pPr>
      <w:r w:rsidRPr="005471F8">
        <w:rPr>
          <w:rFonts w:ascii="Arial" w:hAnsi="Arial" w:cs="Arial"/>
          <w:b/>
        </w:rPr>
        <w:lastRenderedPageBreak/>
        <w:t>KEY LANDMARK CASES (OR CASES) TO KNOW</w:t>
      </w:r>
    </w:p>
    <w:tbl>
      <w:tblPr>
        <w:tblStyle w:val="TableGrid"/>
        <w:tblW w:w="0" w:type="auto"/>
        <w:tblLook w:val="04A0" w:firstRow="1" w:lastRow="0" w:firstColumn="1" w:lastColumn="0" w:noHBand="0" w:noVBand="1"/>
      </w:tblPr>
      <w:tblGrid>
        <w:gridCol w:w="3078"/>
        <w:gridCol w:w="10350"/>
      </w:tblGrid>
      <w:tr w:rsidR="004A583F" w:rsidRPr="005471F8" w:rsidTr="00846793">
        <w:tc>
          <w:tcPr>
            <w:tcW w:w="3078" w:type="dxa"/>
          </w:tcPr>
          <w:p w:rsidR="004A583F" w:rsidRPr="00290408" w:rsidRDefault="004A583F" w:rsidP="00846793">
            <w:pPr>
              <w:pStyle w:val="Default"/>
              <w:spacing w:after="120"/>
              <w:rPr>
                <w:b/>
                <w:sz w:val="22"/>
                <w:szCs w:val="22"/>
              </w:rPr>
            </w:pPr>
            <w:r w:rsidRPr="00290408">
              <w:rPr>
                <w:b/>
                <w:sz w:val="22"/>
                <w:szCs w:val="22"/>
              </w:rPr>
              <w:t>Name of Act</w:t>
            </w:r>
          </w:p>
        </w:tc>
        <w:tc>
          <w:tcPr>
            <w:tcW w:w="10350" w:type="dxa"/>
          </w:tcPr>
          <w:p w:rsidR="004A583F" w:rsidRPr="00290408" w:rsidRDefault="004A583F" w:rsidP="00846793">
            <w:pPr>
              <w:pStyle w:val="Default"/>
              <w:spacing w:after="120"/>
              <w:rPr>
                <w:b/>
                <w:sz w:val="22"/>
                <w:szCs w:val="22"/>
              </w:rPr>
            </w:pPr>
            <w:r w:rsidRPr="00290408">
              <w:rPr>
                <w:b/>
                <w:sz w:val="22"/>
                <w:szCs w:val="22"/>
              </w:rPr>
              <w:t>Brief Description</w:t>
            </w:r>
          </w:p>
        </w:tc>
      </w:tr>
      <w:tr w:rsidR="004A583F" w:rsidRPr="005471F8" w:rsidTr="00846793">
        <w:tc>
          <w:tcPr>
            <w:tcW w:w="3078" w:type="dxa"/>
          </w:tcPr>
          <w:p w:rsidR="004600D4" w:rsidRPr="00290408" w:rsidRDefault="004A583F" w:rsidP="00846793">
            <w:pPr>
              <w:pStyle w:val="Default"/>
              <w:spacing w:after="120"/>
              <w:rPr>
                <w:sz w:val="22"/>
                <w:szCs w:val="22"/>
              </w:rPr>
            </w:pPr>
            <w:r w:rsidRPr="00290408">
              <w:rPr>
                <w:sz w:val="22"/>
                <w:szCs w:val="22"/>
              </w:rPr>
              <w:t xml:space="preserve">Missouri v. Jenkins </w:t>
            </w:r>
          </w:p>
          <w:p w:rsidR="004A583F" w:rsidRPr="00290408" w:rsidRDefault="004A583F" w:rsidP="00846793">
            <w:pPr>
              <w:pStyle w:val="Default"/>
              <w:spacing w:after="120"/>
              <w:rPr>
                <w:sz w:val="22"/>
                <w:szCs w:val="22"/>
              </w:rPr>
            </w:pPr>
            <w:r w:rsidRPr="00290408">
              <w:rPr>
                <w:sz w:val="22"/>
                <w:szCs w:val="22"/>
              </w:rPr>
              <w:t>(</w:t>
            </w:r>
            <w:r w:rsidRPr="00846793">
              <w:rPr>
                <w:color w:val="1F4E79" w:themeColor="accent1" w:themeShade="80"/>
                <w:sz w:val="22"/>
                <w:szCs w:val="22"/>
              </w:rPr>
              <w:t>paralegal billing</w:t>
            </w:r>
            <w:r w:rsidRPr="00290408">
              <w:rPr>
                <w:sz w:val="22"/>
                <w:szCs w:val="22"/>
              </w:rPr>
              <w:t xml:space="preserve">) </w:t>
            </w:r>
          </w:p>
        </w:tc>
        <w:tc>
          <w:tcPr>
            <w:tcW w:w="10350" w:type="dxa"/>
          </w:tcPr>
          <w:p w:rsidR="004A583F" w:rsidRPr="00290408" w:rsidRDefault="00290408" w:rsidP="00846793">
            <w:pPr>
              <w:pStyle w:val="Default"/>
              <w:spacing w:after="120"/>
              <w:rPr>
                <w:sz w:val="22"/>
                <w:szCs w:val="22"/>
              </w:rPr>
            </w:pPr>
            <w:r w:rsidRPr="00290408">
              <w:rPr>
                <w:sz w:val="22"/>
                <w:szCs w:val="22"/>
              </w:rPr>
              <w:t xml:space="preserve">U.S. Supreme court decision </w:t>
            </w:r>
            <w:r w:rsidRPr="00290408">
              <w:rPr>
                <w:color w:val="00283A"/>
                <w:sz w:val="22"/>
                <w:szCs w:val="22"/>
              </w:rPr>
              <w:t>stating</w:t>
            </w:r>
            <w:r w:rsidRPr="00290408">
              <w:rPr>
                <w:color w:val="00283A"/>
                <w:sz w:val="22"/>
                <w:szCs w:val="22"/>
              </w:rPr>
              <w:t xml:space="preserve"> paralegal fees may be awarded at market rates.</w:t>
            </w:r>
          </w:p>
          <w:p w:rsidR="004600D4" w:rsidRPr="00290408" w:rsidRDefault="004600D4" w:rsidP="00846793">
            <w:pPr>
              <w:pStyle w:val="NormalWeb"/>
              <w:shd w:val="clear" w:color="auto" w:fill="FFFFFF"/>
              <w:spacing w:after="120"/>
              <w:textAlignment w:val="top"/>
              <w:rPr>
                <w:rFonts w:ascii="Arial" w:hAnsi="Arial" w:cs="Arial"/>
                <w:color w:val="00283A"/>
                <w:sz w:val="22"/>
                <w:szCs w:val="22"/>
              </w:rPr>
            </w:pPr>
            <w:r w:rsidRPr="00290408">
              <w:rPr>
                <w:rFonts w:ascii="Arial" w:hAnsi="Arial" w:cs="Arial"/>
                <w:color w:val="00283A"/>
                <w:sz w:val="22"/>
                <w:szCs w:val="22"/>
              </w:rPr>
              <w:t>In its opinion, the Court stated:</w:t>
            </w:r>
          </w:p>
          <w:p w:rsidR="004600D4" w:rsidRPr="00290408" w:rsidRDefault="004600D4" w:rsidP="00846793">
            <w:pPr>
              <w:pStyle w:val="NormalWeb"/>
              <w:shd w:val="clear" w:color="auto" w:fill="FFFFFF"/>
              <w:spacing w:after="120"/>
              <w:ind w:left="252"/>
              <w:textAlignment w:val="top"/>
              <w:rPr>
                <w:rFonts w:ascii="Arial" w:hAnsi="Arial" w:cs="Arial"/>
                <w:sz w:val="22"/>
                <w:szCs w:val="22"/>
              </w:rPr>
            </w:pPr>
            <w:r w:rsidRPr="00290408">
              <w:rPr>
                <w:rStyle w:val="Emphasis"/>
                <w:rFonts w:ascii="Arial" w:hAnsi="Arial" w:cs="Arial"/>
                <w:color w:val="00283A"/>
                <w:sz w:val="22"/>
                <w:szCs w:val="22"/>
              </w:rPr>
              <w:t>By encouraging the use of lower cost paralegals rather than attorneys wherever possible, permitting market-rate billing of paralegal hours "encourages cost-effective delivery of legal services and, by reducing the spiraling cost of civil rights litigation, furthers the policies underlying civil rights statutes.</w:t>
            </w:r>
          </w:p>
        </w:tc>
      </w:tr>
      <w:tr w:rsidR="004A583F" w:rsidRPr="005471F8" w:rsidTr="00846793">
        <w:tc>
          <w:tcPr>
            <w:tcW w:w="3078" w:type="dxa"/>
          </w:tcPr>
          <w:p w:rsidR="004600D4" w:rsidRPr="00290408" w:rsidRDefault="004A583F" w:rsidP="00846793">
            <w:pPr>
              <w:pStyle w:val="Default"/>
              <w:spacing w:after="120"/>
              <w:rPr>
                <w:sz w:val="22"/>
                <w:szCs w:val="22"/>
              </w:rPr>
            </w:pPr>
            <w:proofErr w:type="spellStart"/>
            <w:r w:rsidRPr="00290408">
              <w:rPr>
                <w:sz w:val="22"/>
                <w:szCs w:val="22"/>
              </w:rPr>
              <w:t>Daubert</w:t>
            </w:r>
            <w:proofErr w:type="spellEnd"/>
            <w:r w:rsidRPr="00290408">
              <w:rPr>
                <w:sz w:val="22"/>
                <w:szCs w:val="22"/>
              </w:rPr>
              <w:t xml:space="preserve"> </w:t>
            </w:r>
          </w:p>
          <w:p w:rsidR="00846793" w:rsidRDefault="004A583F" w:rsidP="00846793">
            <w:pPr>
              <w:pStyle w:val="Default"/>
              <w:spacing w:after="120"/>
              <w:rPr>
                <w:sz w:val="22"/>
                <w:szCs w:val="22"/>
              </w:rPr>
            </w:pPr>
            <w:r w:rsidRPr="00290408">
              <w:rPr>
                <w:sz w:val="22"/>
                <w:szCs w:val="22"/>
              </w:rPr>
              <w:t>(</w:t>
            </w:r>
            <w:r w:rsidRPr="00846793">
              <w:rPr>
                <w:color w:val="1F4E79" w:themeColor="accent1" w:themeShade="80"/>
                <w:sz w:val="22"/>
                <w:szCs w:val="22"/>
              </w:rPr>
              <w:t>standard for admitting expert testimony</w:t>
            </w:r>
            <w:r w:rsidRPr="00290408">
              <w:rPr>
                <w:sz w:val="22"/>
                <w:szCs w:val="22"/>
              </w:rPr>
              <w:t>)</w:t>
            </w:r>
          </w:p>
          <w:p w:rsidR="004A583F" w:rsidRPr="00290408" w:rsidRDefault="00846793" w:rsidP="00846793">
            <w:pPr>
              <w:pStyle w:val="Default"/>
              <w:spacing w:after="120"/>
              <w:rPr>
                <w:sz w:val="22"/>
                <w:szCs w:val="22"/>
              </w:rPr>
            </w:pPr>
            <w:hyperlink r:id="rId6" w:history="1">
              <w:proofErr w:type="spellStart"/>
              <w:r w:rsidRPr="00846793">
                <w:rPr>
                  <w:rStyle w:val="Hyperlink"/>
                  <w:i/>
                  <w:iCs/>
                  <w:color w:val="auto"/>
                  <w:sz w:val="22"/>
                  <w:szCs w:val="22"/>
                  <w:lang w:val="en"/>
                </w:rPr>
                <w:t>Daubert</w:t>
              </w:r>
              <w:proofErr w:type="spellEnd"/>
              <w:r w:rsidRPr="00846793">
                <w:rPr>
                  <w:rStyle w:val="Hyperlink"/>
                  <w:i/>
                  <w:iCs/>
                  <w:color w:val="auto"/>
                  <w:sz w:val="22"/>
                  <w:szCs w:val="22"/>
                  <w:lang w:val="en"/>
                </w:rPr>
                <w:t xml:space="preserve"> v. Merrell Dow Pharmaceuticals, Inc.</w:t>
              </w:r>
            </w:hyperlink>
            <w:r w:rsidRPr="00846793">
              <w:rPr>
                <w:color w:val="auto"/>
                <w:sz w:val="22"/>
                <w:szCs w:val="22"/>
                <w:lang w:val="en"/>
              </w:rPr>
              <w:t xml:space="preserve">, </w:t>
            </w:r>
            <w:r w:rsidRPr="00290408">
              <w:rPr>
                <w:color w:val="333333"/>
                <w:sz w:val="22"/>
                <w:szCs w:val="22"/>
                <w:lang w:val="en"/>
              </w:rPr>
              <w:t xml:space="preserve">509 U.S. 579 (1993). </w:t>
            </w:r>
            <w:r w:rsidR="004A583F" w:rsidRPr="00290408">
              <w:rPr>
                <w:sz w:val="22"/>
                <w:szCs w:val="22"/>
              </w:rPr>
              <w:t xml:space="preserve"> </w:t>
            </w:r>
          </w:p>
        </w:tc>
        <w:tc>
          <w:tcPr>
            <w:tcW w:w="10350" w:type="dxa"/>
          </w:tcPr>
          <w:p w:rsidR="00846793" w:rsidRDefault="004600D4" w:rsidP="00846793">
            <w:pPr>
              <w:pStyle w:val="Default"/>
              <w:spacing w:after="120"/>
              <w:rPr>
                <w:color w:val="333333"/>
                <w:sz w:val="22"/>
                <w:szCs w:val="22"/>
                <w:lang w:val="en"/>
              </w:rPr>
            </w:pPr>
            <w:r w:rsidRPr="00290408">
              <w:rPr>
                <w:color w:val="333333"/>
                <w:sz w:val="22"/>
                <w:szCs w:val="22"/>
                <w:lang w:val="en"/>
              </w:rPr>
              <w:t xml:space="preserve">Standard used by a trial judge to make a preliminary assessment of whether an expert’s scientific testimony is based on reasoning or methodology that is scientifically valid and can properly be applied to the facts at issue. </w:t>
            </w:r>
            <w:r w:rsidR="00846793" w:rsidRPr="00290408">
              <w:rPr>
                <w:color w:val="333333"/>
                <w:sz w:val="22"/>
                <w:szCs w:val="22"/>
                <w:lang w:val="en"/>
              </w:rPr>
              <w:t xml:space="preserve">The </w:t>
            </w:r>
            <w:proofErr w:type="spellStart"/>
            <w:r w:rsidR="00846793" w:rsidRPr="00290408">
              <w:rPr>
                <w:color w:val="333333"/>
                <w:sz w:val="22"/>
                <w:szCs w:val="22"/>
                <w:lang w:val="en"/>
              </w:rPr>
              <w:t>Daubert</w:t>
            </w:r>
            <w:proofErr w:type="spellEnd"/>
            <w:r w:rsidR="00846793" w:rsidRPr="00290408">
              <w:rPr>
                <w:color w:val="333333"/>
                <w:sz w:val="22"/>
                <w:szCs w:val="22"/>
                <w:lang w:val="en"/>
              </w:rPr>
              <w:t xml:space="preserve"> standard is the test currently used in the federal courts and some state courts.  </w:t>
            </w:r>
          </w:p>
          <w:p w:rsidR="00846793" w:rsidRDefault="004600D4" w:rsidP="00846793">
            <w:pPr>
              <w:pStyle w:val="Default"/>
              <w:spacing w:after="120"/>
              <w:rPr>
                <w:color w:val="333333"/>
                <w:sz w:val="22"/>
                <w:szCs w:val="22"/>
                <w:lang w:val="en"/>
              </w:rPr>
            </w:pPr>
            <w:r w:rsidRPr="00290408">
              <w:rPr>
                <w:color w:val="333333"/>
                <w:sz w:val="22"/>
                <w:szCs w:val="22"/>
                <w:lang w:val="en"/>
              </w:rPr>
              <w:t>Under this standard, the factors that may be considered in determining whether the methodology is valid are: </w:t>
            </w:r>
          </w:p>
          <w:p w:rsidR="00846793" w:rsidRDefault="004600D4" w:rsidP="00846793">
            <w:pPr>
              <w:pStyle w:val="Default"/>
              <w:spacing w:after="120"/>
              <w:rPr>
                <w:color w:val="333333"/>
                <w:sz w:val="22"/>
                <w:szCs w:val="22"/>
                <w:lang w:val="en"/>
              </w:rPr>
            </w:pPr>
            <w:r w:rsidRPr="00290408">
              <w:rPr>
                <w:color w:val="333333"/>
                <w:sz w:val="22"/>
                <w:szCs w:val="22"/>
                <w:lang w:val="en"/>
              </w:rPr>
              <w:t xml:space="preserve">(1) whether the theory or technique in question can be and has been tested; </w:t>
            </w:r>
          </w:p>
          <w:p w:rsidR="00846793" w:rsidRDefault="004600D4" w:rsidP="00846793">
            <w:pPr>
              <w:pStyle w:val="Default"/>
              <w:spacing w:after="120"/>
              <w:rPr>
                <w:color w:val="333333"/>
                <w:sz w:val="22"/>
                <w:szCs w:val="22"/>
                <w:lang w:val="en"/>
              </w:rPr>
            </w:pPr>
            <w:r w:rsidRPr="00290408">
              <w:rPr>
                <w:color w:val="333333"/>
                <w:sz w:val="22"/>
                <w:szCs w:val="22"/>
                <w:lang w:val="en"/>
              </w:rPr>
              <w:t xml:space="preserve">(2) whether it has been subjected to peer review and publication; </w:t>
            </w:r>
          </w:p>
          <w:p w:rsidR="00846793" w:rsidRDefault="004600D4" w:rsidP="00846793">
            <w:pPr>
              <w:pStyle w:val="Default"/>
              <w:spacing w:after="120"/>
              <w:rPr>
                <w:color w:val="333333"/>
                <w:sz w:val="22"/>
                <w:szCs w:val="22"/>
                <w:lang w:val="en"/>
              </w:rPr>
            </w:pPr>
            <w:r w:rsidRPr="00290408">
              <w:rPr>
                <w:color w:val="333333"/>
                <w:sz w:val="22"/>
                <w:szCs w:val="22"/>
                <w:lang w:val="en"/>
              </w:rPr>
              <w:t xml:space="preserve">(3) its known or potential error rate; </w:t>
            </w:r>
          </w:p>
          <w:p w:rsidR="00846793" w:rsidRDefault="004600D4" w:rsidP="00846793">
            <w:pPr>
              <w:pStyle w:val="Default"/>
              <w:spacing w:after="120"/>
              <w:rPr>
                <w:color w:val="333333"/>
                <w:sz w:val="22"/>
                <w:szCs w:val="22"/>
                <w:lang w:val="en"/>
              </w:rPr>
            </w:pPr>
            <w:r w:rsidRPr="00290408">
              <w:rPr>
                <w:color w:val="333333"/>
                <w:sz w:val="22"/>
                <w:szCs w:val="22"/>
                <w:lang w:val="en"/>
              </w:rPr>
              <w:t xml:space="preserve">(4) the existence and maintenance of standards controlling its operation; and </w:t>
            </w:r>
          </w:p>
          <w:p w:rsidR="004A583F" w:rsidRPr="00290408" w:rsidRDefault="004600D4" w:rsidP="00846793">
            <w:pPr>
              <w:pStyle w:val="Default"/>
              <w:spacing w:after="120"/>
              <w:rPr>
                <w:sz w:val="22"/>
                <w:szCs w:val="22"/>
              </w:rPr>
            </w:pPr>
            <w:r w:rsidRPr="00290408">
              <w:rPr>
                <w:color w:val="333333"/>
                <w:sz w:val="22"/>
                <w:szCs w:val="22"/>
                <w:lang w:val="en"/>
              </w:rPr>
              <w:t xml:space="preserve">(5) </w:t>
            </w:r>
            <w:proofErr w:type="gramStart"/>
            <w:r w:rsidRPr="00290408">
              <w:rPr>
                <w:color w:val="333333"/>
                <w:sz w:val="22"/>
                <w:szCs w:val="22"/>
                <w:lang w:val="en"/>
              </w:rPr>
              <w:t>whether</w:t>
            </w:r>
            <w:proofErr w:type="gramEnd"/>
            <w:r w:rsidRPr="00290408">
              <w:rPr>
                <w:color w:val="333333"/>
                <w:sz w:val="22"/>
                <w:szCs w:val="22"/>
                <w:lang w:val="en"/>
              </w:rPr>
              <w:t xml:space="preserve"> it has attracted widespread acceptance within a relevant scientific community. </w:t>
            </w:r>
          </w:p>
        </w:tc>
      </w:tr>
      <w:tr w:rsidR="004A583F" w:rsidRPr="005471F8" w:rsidTr="00846793">
        <w:tc>
          <w:tcPr>
            <w:tcW w:w="3078" w:type="dxa"/>
          </w:tcPr>
          <w:p w:rsidR="00846793" w:rsidRDefault="004A583F" w:rsidP="00846793">
            <w:pPr>
              <w:pStyle w:val="Default"/>
              <w:spacing w:after="120"/>
              <w:rPr>
                <w:sz w:val="22"/>
                <w:szCs w:val="22"/>
              </w:rPr>
            </w:pPr>
            <w:r w:rsidRPr="00290408">
              <w:rPr>
                <w:sz w:val="22"/>
                <w:szCs w:val="22"/>
              </w:rPr>
              <w:t xml:space="preserve">Hickman v Taylor </w:t>
            </w:r>
          </w:p>
          <w:p w:rsidR="004A583F" w:rsidRPr="00290408" w:rsidRDefault="004A583F" w:rsidP="00846793">
            <w:pPr>
              <w:pStyle w:val="Default"/>
              <w:spacing w:after="120"/>
              <w:rPr>
                <w:sz w:val="22"/>
                <w:szCs w:val="22"/>
              </w:rPr>
            </w:pPr>
            <w:r w:rsidRPr="00290408">
              <w:rPr>
                <w:sz w:val="22"/>
                <w:szCs w:val="22"/>
              </w:rPr>
              <w:t>(</w:t>
            </w:r>
            <w:r w:rsidRPr="00846793">
              <w:rPr>
                <w:color w:val="1F4E79" w:themeColor="accent1" w:themeShade="80"/>
                <w:sz w:val="22"/>
                <w:szCs w:val="22"/>
              </w:rPr>
              <w:t>work product</w:t>
            </w:r>
            <w:r w:rsidRPr="00290408">
              <w:rPr>
                <w:sz w:val="22"/>
                <w:szCs w:val="22"/>
              </w:rPr>
              <w:t xml:space="preserve">) </w:t>
            </w:r>
          </w:p>
        </w:tc>
        <w:tc>
          <w:tcPr>
            <w:tcW w:w="10350" w:type="dxa"/>
          </w:tcPr>
          <w:p w:rsidR="004A583F" w:rsidRPr="00290408" w:rsidRDefault="00290408" w:rsidP="00846793">
            <w:pPr>
              <w:pStyle w:val="Default"/>
              <w:spacing w:after="120"/>
              <w:rPr>
                <w:sz w:val="22"/>
                <w:szCs w:val="22"/>
              </w:rPr>
            </w:pPr>
            <w:r w:rsidRPr="00290408">
              <w:rPr>
                <w:sz w:val="22"/>
                <w:szCs w:val="22"/>
              </w:rPr>
              <w:t xml:space="preserve">Established the Doctrine of Work Product.  Qualified immunity from discovery for layer’s trail preparations, including mental impressions, ideas and legal research amounted to unqualified </w:t>
            </w:r>
            <w:proofErr w:type="gramStart"/>
            <w:r w:rsidRPr="00290408">
              <w:rPr>
                <w:sz w:val="22"/>
                <w:szCs w:val="22"/>
              </w:rPr>
              <w:t>privilege  Factual</w:t>
            </w:r>
            <w:proofErr w:type="gramEnd"/>
            <w:r w:rsidRPr="00290408">
              <w:rPr>
                <w:sz w:val="22"/>
                <w:szCs w:val="22"/>
              </w:rPr>
              <w:t xml:space="preserve"> research was covered by qualified privilege.</w:t>
            </w:r>
          </w:p>
        </w:tc>
      </w:tr>
      <w:tr w:rsidR="004A583F" w:rsidRPr="005471F8" w:rsidTr="00846793">
        <w:tc>
          <w:tcPr>
            <w:tcW w:w="3078" w:type="dxa"/>
          </w:tcPr>
          <w:p w:rsidR="004A583F" w:rsidRPr="00290408" w:rsidRDefault="004A583F" w:rsidP="00846793">
            <w:pPr>
              <w:pStyle w:val="Default"/>
              <w:spacing w:after="120"/>
              <w:rPr>
                <w:sz w:val="22"/>
                <w:szCs w:val="22"/>
              </w:rPr>
            </w:pPr>
            <w:r w:rsidRPr="00290408">
              <w:rPr>
                <w:sz w:val="22"/>
                <w:szCs w:val="22"/>
              </w:rPr>
              <w:t>Miranda</w:t>
            </w:r>
            <w:r w:rsidR="00290408" w:rsidRPr="00290408">
              <w:rPr>
                <w:sz w:val="22"/>
                <w:szCs w:val="22"/>
              </w:rPr>
              <w:t xml:space="preserve"> v. Arizona</w:t>
            </w:r>
            <w:r w:rsidRPr="00290408">
              <w:rPr>
                <w:sz w:val="22"/>
                <w:szCs w:val="22"/>
              </w:rPr>
              <w:t xml:space="preserve"> (</w:t>
            </w:r>
            <w:r w:rsidRPr="00846793">
              <w:rPr>
                <w:color w:val="1F4E79" w:themeColor="accent1" w:themeShade="80"/>
                <w:sz w:val="22"/>
                <w:szCs w:val="22"/>
              </w:rPr>
              <w:t xml:space="preserve">constitutional </w:t>
            </w:r>
            <w:r w:rsidR="00290408" w:rsidRPr="00846793">
              <w:rPr>
                <w:color w:val="1F4E79" w:themeColor="accent1" w:themeShade="80"/>
                <w:sz w:val="22"/>
                <w:szCs w:val="22"/>
              </w:rPr>
              <w:t>5</w:t>
            </w:r>
            <w:r w:rsidR="00290408" w:rsidRPr="00846793">
              <w:rPr>
                <w:color w:val="1F4E79" w:themeColor="accent1" w:themeShade="80"/>
                <w:sz w:val="22"/>
                <w:szCs w:val="22"/>
                <w:vertAlign w:val="superscript"/>
              </w:rPr>
              <w:t>th</w:t>
            </w:r>
            <w:r w:rsidR="00290408" w:rsidRPr="00846793">
              <w:rPr>
                <w:color w:val="1F4E79" w:themeColor="accent1" w:themeShade="80"/>
                <w:sz w:val="22"/>
                <w:szCs w:val="22"/>
              </w:rPr>
              <w:t xml:space="preserve"> Amendment </w:t>
            </w:r>
            <w:r w:rsidRPr="00846793">
              <w:rPr>
                <w:color w:val="1F4E79" w:themeColor="accent1" w:themeShade="80"/>
                <w:sz w:val="22"/>
                <w:szCs w:val="22"/>
              </w:rPr>
              <w:t>rights</w:t>
            </w:r>
            <w:r w:rsidRPr="00290408">
              <w:rPr>
                <w:sz w:val="22"/>
                <w:szCs w:val="22"/>
              </w:rPr>
              <w:t>).</w:t>
            </w:r>
          </w:p>
        </w:tc>
        <w:tc>
          <w:tcPr>
            <w:tcW w:w="10350" w:type="dxa"/>
          </w:tcPr>
          <w:p w:rsidR="00290408" w:rsidRPr="00290408" w:rsidRDefault="00290408" w:rsidP="00846793">
            <w:pPr>
              <w:spacing w:before="100" w:beforeAutospacing="1" w:after="120"/>
              <w:rPr>
                <w:rFonts w:ascii="Arial" w:eastAsia="Times New Roman" w:hAnsi="Arial" w:cs="Arial"/>
                <w:color w:val="3C3C3C"/>
              </w:rPr>
            </w:pPr>
            <w:proofErr w:type="gramStart"/>
            <w:r w:rsidRPr="00290408">
              <w:rPr>
                <w:rFonts w:ascii="Arial" w:eastAsia="Times New Roman" w:hAnsi="Arial" w:cs="Arial"/>
                <w:color w:val="3C3C3C"/>
              </w:rPr>
              <w:t>whenever</w:t>
            </w:r>
            <w:proofErr w:type="gramEnd"/>
            <w:r w:rsidRPr="00290408">
              <w:rPr>
                <w:rFonts w:ascii="Arial" w:eastAsia="Times New Roman" w:hAnsi="Arial" w:cs="Arial"/>
                <w:color w:val="3C3C3C"/>
              </w:rPr>
              <w:t xml:space="preserve"> a person is taken into police custody, </w:t>
            </w:r>
            <w:r w:rsidRPr="00290408">
              <w:rPr>
                <w:rFonts w:ascii="Arial" w:eastAsia="Times New Roman" w:hAnsi="Arial" w:cs="Arial"/>
                <w:color w:val="3C3C3C"/>
                <w:u w:val="single"/>
              </w:rPr>
              <w:t>before</w:t>
            </w:r>
            <w:r w:rsidRPr="00290408">
              <w:rPr>
                <w:rFonts w:ascii="Arial" w:eastAsia="Times New Roman" w:hAnsi="Arial" w:cs="Arial"/>
                <w:color w:val="3C3C3C"/>
              </w:rPr>
              <w:t xml:space="preserve"> being questioned he or she must be told of the </w:t>
            </w:r>
            <w:hyperlink r:id="rId7" w:tgtFrame="_blank" w:tooltip="5th Amendment of the U.S. Constitution" w:history="1">
              <w:r w:rsidRPr="00290408">
                <w:rPr>
                  <w:rFonts w:ascii="Arial" w:eastAsia="Times New Roman" w:hAnsi="Arial" w:cs="Arial"/>
                  <w:color w:val="006699"/>
                </w:rPr>
                <w:t>Fifth Amendment</w:t>
              </w:r>
            </w:hyperlink>
            <w:r w:rsidRPr="00290408">
              <w:rPr>
                <w:rFonts w:ascii="Arial" w:eastAsia="Times New Roman" w:hAnsi="Arial" w:cs="Arial"/>
                <w:color w:val="3C3C3C"/>
              </w:rPr>
              <w:t xml:space="preserve"> right not to make any self-incriminating statements. As a result of Miranda, anyone in police custody must be told four things before being questioned:</w:t>
            </w:r>
          </w:p>
          <w:p w:rsidR="00290408" w:rsidRPr="00290408" w:rsidRDefault="00290408" w:rsidP="00846793">
            <w:pPr>
              <w:numPr>
                <w:ilvl w:val="0"/>
                <w:numId w:val="1"/>
              </w:numPr>
              <w:spacing w:before="100" w:beforeAutospacing="1" w:after="120"/>
              <w:ind w:left="480"/>
              <w:rPr>
                <w:rFonts w:ascii="Arial" w:eastAsia="Times New Roman" w:hAnsi="Arial" w:cs="Arial"/>
                <w:color w:val="3C3C3C"/>
              </w:rPr>
            </w:pPr>
            <w:r w:rsidRPr="00290408">
              <w:rPr>
                <w:rFonts w:ascii="Arial" w:eastAsia="Times New Roman" w:hAnsi="Arial" w:cs="Arial"/>
                <w:color w:val="3C3C3C"/>
              </w:rPr>
              <w:t>You have the right to remain silent.</w:t>
            </w:r>
          </w:p>
          <w:p w:rsidR="00290408" w:rsidRPr="00290408" w:rsidRDefault="00290408" w:rsidP="00846793">
            <w:pPr>
              <w:numPr>
                <w:ilvl w:val="0"/>
                <w:numId w:val="1"/>
              </w:numPr>
              <w:spacing w:before="100" w:beforeAutospacing="1" w:after="120"/>
              <w:ind w:left="480"/>
              <w:rPr>
                <w:rFonts w:ascii="Arial" w:eastAsia="Times New Roman" w:hAnsi="Arial" w:cs="Arial"/>
                <w:color w:val="3C3C3C"/>
              </w:rPr>
            </w:pPr>
            <w:r w:rsidRPr="00290408">
              <w:rPr>
                <w:rFonts w:ascii="Arial" w:eastAsia="Times New Roman" w:hAnsi="Arial" w:cs="Arial"/>
                <w:color w:val="3C3C3C"/>
              </w:rPr>
              <w:t>Anything you say can and will be used against you in a court of law.</w:t>
            </w:r>
          </w:p>
          <w:p w:rsidR="00290408" w:rsidRPr="00290408" w:rsidRDefault="00290408" w:rsidP="00846793">
            <w:pPr>
              <w:numPr>
                <w:ilvl w:val="0"/>
                <w:numId w:val="1"/>
              </w:numPr>
              <w:spacing w:before="100" w:beforeAutospacing="1" w:after="120"/>
              <w:ind w:left="480"/>
              <w:rPr>
                <w:rFonts w:ascii="Arial" w:eastAsia="Times New Roman" w:hAnsi="Arial" w:cs="Arial"/>
                <w:color w:val="3C3C3C"/>
              </w:rPr>
            </w:pPr>
            <w:r w:rsidRPr="00290408">
              <w:rPr>
                <w:rFonts w:ascii="Arial" w:eastAsia="Times New Roman" w:hAnsi="Arial" w:cs="Arial"/>
                <w:color w:val="3C3C3C"/>
              </w:rPr>
              <w:t>You have the right to an attorney.</w:t>
            </w:r>
          </w:p>
          <w:p w:rsidR="004A583F" w:rsidRPr="00290408" w:rsidRDefault="00290408" w:rsidP="00846793">
            <w:pPr>
              <w:numPr>
                <w:ilvl w:val="0"/>
                <w:numId w:val="1"/>
              </w:numPr>
              <w:spacing w:before="100" w:beforeAutospacing="1" w:after="120"/>
              <w:ind w:left="480"/>
              <w:rPr>
                <w:rFonts w:ascii="Arial" w:hAnsi="Arial" w:cs="Arial"/>
              </w:rPr>
            </w:pPr>
            <w:r w:rsidRPr="00290408">
              <w:rPr>
                <w:rFonts w:ascii="Arial" w:eastAsia="Times New Roman" w:hAnsi="Arial" w:cs="Arial"/>
                <w:color w:val="3C3C3C"/>
              </w:rPr>
              <w:t>If you cannot afford an attorney, one will be appointed for you.</w:t>
            </w:r>
          </w:p>
        </w:tc>
      </w:tr>
    </w:tbl>
    <w:p w:rsidR="004A583F" w:rsidRPr="005471F8" w:rsidRDefault="004A583F" w:rsidP="004A583F">
      <w:pPr>
        <w:spacing w:after="120" w:line="240" w:lineRule="auto"/>
        <w:rPr>
          <w:rFonts w:ascii="Arial" w:hAnsi="Arial" w:cs="Arial"/>
          <w:b/>
        </w:rPr>
      </w:pPr>
    </w:p>
    <w:sectPr w:rsidR="004A583F" w:rsidRPr="005471F8" w:rsidSect="00846793">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2130"/>
    <w:multiLevelType w:val="multilevel"/>
    <w:tmpl w:val="CE2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3F"/>
    <w:rsid w:val="001240C4"/>
    <w:rsid w:val="001263C1"/>
    <w:rsid w:val="00137E8A"/>
    <w:rsid w:val="00290408"/>
    <w:rsid w:val="00336EE3"/>
    <w:rsid w:val="003B0D0B"/>
    <w:rsid w:val="004600D4"/>
    <w:rsid w:val="004A583F"/>
    <w:rsid w:val="005471F8"/>
    <w:rsid w:val="0059521B"/>
    <w:rsid w:val="008440B9"/>
    <w:rsid w:val="00846793"/>
    <w:rsid w:val="00865944"/>
    <w:rsid w:val="00B9220B"/>
    <w:rsid w:val="00CB43EF"/>
    <w:rsid w:val="00E1258F"/>
    <w:rsid w:val="00E6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83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A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471F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Hyperlink">
    <w:name w:val="Hyperlink"/>
    <w:basedOn w:val="DefaultParagraphFont"/>
    <w:uiPriority w:val="99"/>
    <w:semiHidden/>
    <w:unhideWhenUsed/>
    <w:rsid w:val="004600D4"/>
    <w:rPr>
      <w:strike w:val="0"/>
      <w:dstrike w:val="0"/>
      <w:color w:val="06357A"/>
      <w:u w:val="none"/>
      <w:effect w:val="none"/>
    </w:rPr>
  </w:style>
  <w:style w:type="character" w:styleId="Emphasis">
    <w:name w:val="Emphasis"/>
    <w:basedOn w:val="DefaultParagraphFont"/>
    <w:uiPriority w:val="20"/>
    <w:qFormat/>
    <w:rsid w:val="004600D4"/>
    <w:rPr>
      <w:i/>
      <w:iCs/>
    </w:rPr>
  </w:style>
  <w:style w:type="paragraph" w:styleId="NormalWeb">
    <w:name w:val="Normal (Web)"/>
    <w:basedOn w:val="Normal"/>
    <w:uiPriority w:val="99"/>
    <w:unhideWhenUsed/>
    <w:rsid w:val="004600D4"/>
    <w:pPr>
      <w:spacing w:before="240" w:after="240" w:line="240" w:lineRule="auto"/>
    </w:pPr>
    <w:rPr>
      <w:rFonts w:ascii="Source Sans Pro" w:eastAsia="Times New Roman" w:hAnsi="Source Sans Pro" w:cs="Times New Roman"/>
      <w:sz w:val="24"/>
      <w:szCs w:val="24"/>
    </w:rPr>
  </w:style>
  <w:style w:type="paragraph" w:styleId="BalloonText">
    <w:name w:val="Balloon Text"/>
    <w:basedOn w:val="Normal"/>
    <w:link w:val="BalloonTextChar"/>
    <w:uiPriority w:val="99"/>
    <w:semiHidden/>
    <w:unhideWhenUsed/>
    <w:rsid w:val="0059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83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A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471F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Hyperlink">
    <w:name w:val="Hyperlink"/>
    <w:basedOn w:val="DefaultParagraphFont"/>
    <w:uiPriority w:val="99"/>
    <w:semiHidden/>
    <w:unhideWhenUsed/>
    <w:rsid w:val="004600D4"/>
    <w:rPr>
      <w:strike w:val="0"/>
      <w:dstrike w:val="0"/>
      <w:color w:val="06357A"/>
      <w:u w:val="none"/>
      <w:effect w:val="none"/>
    </w:rPr>
  </w:style>
  <w:style w:type="character" w:styleId="Emphasis">
    <w:name w:val="Emphasis"/>
    <w:basedOn w:val="DefaultParagraphFont"/>
    <w:uiPriority w:val="20"/>
    <w:qFormat/>
    <w:rsid w:val="004600D4"/>
    <w:rPr>
      <w:i/>
      <w:iCs/>
    </w:rPr>
  </w:style>
  <w:style w:type="paragraph" w:styleId="NormalWeb">
    <w:name w:val="Normal (Web)"/>
    <w:basedOn w:val="Normal"/>
    <w:uiPriority w:val="99"/>
    <w:unhideWhenUsed/>
    <w:rsid w:val="004600D4"/>
    <w:pPr>
      <w:spacing w:before="240" w:after="240" w:line="240" w:lineRule="auto"/>
    </w:pPr>
    <w:rPr>
      <w:rFonts w:ascii="Source Sans Pro" w:eastAsia="Times New Roman" w:hAnsi="Source Sans Pro" w:cs="Times New Roman"/>
      <w:sz w:val="24"/>
      <w:szCs w:val="24"/>
    </w:rPr>
  </w:style>
  <w:style w:type="paragraph" w:styleId="BalloonText">
    <w:name w:val="Balloon Text"/>
    <w:basedOn w:val="Normal"/>
    <w:link w:val="BalloonTextChar"/>
    <w:uiPriority w:val="99"/>
    <w:semiHidden/>
    <w:unhideWhenUsed/>
    <w:rsid w:val="0059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02205">
      <w:bodyDiv w:val="1"/>
      <w:marLeft w:val="0"/>
      <w:marRight w:val="0"/>
      <w:marTop w:val="0"/>
      <w:marBottom w:val="0"/>
      <w:divBdr>
        <w:top w:val="none" w:sz="0" w:space="0" w:color="auto"/>
        <w:left w:val="none" w:sz="0" w:space="0" w:color="auto"/>
        <w:bottom w:val="none" w:sz="0" w:space="0" w:color="auto"/>
        <w:right w:val="none" w:sz="0" w:space="0" w:color="auto"/>
      </w:divBdr>
      <w:divsChild>
        <w:div w:id="1903717079">
          <w:marLeft w:val="0"/>
          <w:marRight w:val="0"/>
          <w:marTop w:val="0"/>
          <w:marBottom w:val="0"/>
          <w:divBdr>
            <w:top w:val="none" w:sz="0" w:space="0" w:color="auto"/>
            <w:left w:val="none" w:sz="0" w:space="0" w:color="auto"/>
            <w:bottom w:val="none" w:sz="0" w:space="0" w:color="auto"/>
            <w:right w:val="none" w:sz="0" w:space="0" w:color="auto"/>
          </w:divBdr>
          <w:divsChild>
            <w:div w:id="5771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3710">
      <w:bodyDiv w:val="1"/>
      <w:marLeft w:val="0"/>
      <w:marRight w:val="0"/>
      <w:marTop w:val="0"/>
      <w:marBottom w:val="0"/>
      <w:divBdr>
        <w:top w:val="none" w:sz="0" w:space="0" w:color="auto"/>
        <w:left w:val="none" w:sz="0" w:space="0" w:color="auto"/>
        <w:bottom w:val="none" w:sz="0" w:space="0" w:color="auto"/>
        <w:right w:val="none" w:sz="0" w:space="0" w:color="auto"/>
      </w:divBdr>
      <w:divsChild>
        <w:div w:id="1170484583">
          <w:marLeft w:val="0"/>
          <w:marRight w:val="0"/>
          <w:marTop w:val="0"/>
          <w:marBottom w:val="0"/>
          <w:divBdr>
            <w:top w:val="none" w:sz="0" w:space="0" w:color="auto"/>
            <w:left w:val="none" w:sz="0" w:space="0" w:color="auto"/>
            <w:bottom w:val="none" w:sz="0" w:space="0" w:color="auto"/>
            <w:right w:val="none" w:sz="0" w:space="0" w:color="auto"/>
          </w:divBdr>
          <w:divsChild>
            <w:div w:id="2135445865">
              <w:marLeft w:val="0"/>
              <w:marRight w:val="0"/>
              <w:marTop w:val="0"/>
              <w:marBottom w:val="0"/>
              <w:divBdr>
                <w:top w:val="none" w:sz="0" w:space="0" w:color="auto"/>
                <w:left w:val="none" w:sz="0" w:space="0" w:color="auto"/>
                <w:bottom w:val="none" w:sz="0" w:space="0" w:color="auto"/>
                <w:right w:val="none" w:sz="0" w:space="0" w:color="auto"/>
              </w:divBdr>
              <w:divsChild>
                <w:div w:id="1077903222">
                  <w:marLeft w:val="0"/>
                  <w:marRight w:val="0"/>
                  <w:marTop w:val="0"/>
                  <w:marBottom w:val="0"/>
                  <w:divBdr>
                    <w:top w:val="none" w:sz="0" w:space="0" w:color="auto"/>
                    <w:left w:val="none" w:sz="0" w:space="0" w:color="auto"/>
                    <w:bottom w:val="none" w:sz="0" w:space="0" w:color="auto"/>
                    <w:right w:val="none" w:sz="0" w:space="0" w:color="auto"/>
                  </w:divBdr>
                  <w:divsChild>
                    <w:div w:id="152532688">
                      <w:marLeft w:val="0"/>
                      <w:marRight w:val="0"/>
                      <w:marTop w:val="0"/>
                      <w:marBottom w:val="0"/>
                      <w:divBdr>
                        <w:top w:val="none" w:sz="0" w:space="0" w:color="auto"/>
                        <w:left w:val="none" w:sz="0" w:space="0" w:color="auto"/>
                        <w:bottom w:val="none" w:sz="0" w:space="0" w:color="auto"/>
                        <w:right w:val="none" w:sz="0" w:space="0" w:color="auto"/>
                      </w:divBdr>
                      <w:divsChild>
                        <w:div w:id="161706249">
                          <w:marLeft w:val="0"/>
                          <w:marRight w:val="0"/>
                          <w:marTop w:val="0"/>
                          <w:marBottom w:val="0"/>
                          <w:divBdr>
                            <w:top w:val="none" w:sz="0" w:space="0" w:color="auto"/>
                            <w:left w:val="none" w:sz="0" w:space="0" w:color="auto"/>
                            <w:bottom w:val="none" w:sz="0" w:space="0" w:color="auto"/>
                            <w:right w:val="none" w:sz="0" w:space="0" w:color="auto"/>
                          </w:divBdr>
                          <w:divsChild>
                            <w:div w:id="70128641">
                              <w:marLeft w:val="0"/>
                              <w:marRight w:val="0"/>
                              <w:marTop w:val="0"/>
                              <w:marBottom w:val="0"/>
                              <w:divBdr>
                                <w:top w:val="none" w:sz="0" w:space="0" w:color="auto"/>
                                <w:left w:val="none" w:sz="0" w:space="0" w:color="auto"/>
                                <w:bottom w:val="none" w:sz="0" w:space="0" w:color="auto"/>
                                <w:right w:val="none" w:sz="0" w:space="0" w:color="auto"/>
                              </w:divBdr>
                              <w:divsChild>
                                <w:div w:id="1487745421">
                                  <w:marLeft w:val="0"/>
                                  <w:marRight w:val="0"/>
                                  <w:marTop w:val="0"/>
                                  <w:marBottom w:val="0"/>
                                  <w:divBdr>
                                    <w:top w:val="none" w:sz="0" w:space="0" w:color="auto"/>
                                    <w:left w:val="none" w:sz="0" w:space="0" w:color="auto"/>
                                    <w:bottom w:val="none" w:sz="0" w:space="0" w:color="auto"/>
                                    <w:right w:val="none" w:sz="0" w:space="0" w:color="auto"/>
                                  </w:divBdr>
                                  <w:divsChild>
                                    <w:div w:id="919678021">
                                      <w:marLeft w:val="0"/>
                                      <w:marRight w:val="0"/>
                                      <w:marTop w:val="0"/>
                                      <w:marBottom w:val="0"/>
                                      <w:divBdr>
                                        <w:top w:val="none" w:sz="0" w:space="0" w:color="auto"/>
                                        <w:left w:val="none" w:sz="0" w:space="0" w:color="auto"/>
                                        <w:bottom w:val="none" w:sz="0" w:space="0" w:color="auto"/>
                                        <w:right w:val="none" w:sz="0" w:space="0" w:color="auto"/>
                                      </w:divBdr>
                                      <w:divsChild>
                                        <w:div w:id="1319311616">
                                          <w:marLeft w:val="0"/>
                                          <w:marRight w:val="0"/>
                                          <w:marTop w:val="0"/>
                                          <w:marBottom w:val="0"/>
                                          <w:divBdr>
                                            <w:top w:val="none" w:sz="0" w:space="0" w:color="auto"/>
                                            <w:left w:val="none" w:sz="0" w:space="0" w:color="auto"/>
                                            <w:bottom w:val="none" w:sz="0" w:space="0" w:color="auto"/>
                                            <w:right w:val="none" w:sz="0" w:space="0" w:color="auto"/>
                                          </w:divBdr>
                                          <w:divsChild>
                                            <w:div w:id="919481272">
                                              <w:marLeft w:val="0"/>
                                              <w:marRight w:val="0"/>
                                              <w:marTop w:val="0"/>
                                              <w:marBottom w:val="0"/>
                                              <w:divBdr>
                                                <w:top w:val="none" w:sz="0" w:space="0" w:color="auto"/>
                                                <w:left w:val="none" w:sz="0" w:space="0" w:color="auto"/>
                                                <w:bottom w:val="none" w:sz="0" w:space="0" w:color="auto"/>
                                                <w:right w:val="none" w:sz="0" w:space="0" w:color="auto"/>
                                              </w:divBdr>
                                              <w:divsChild>
                                                <w:div w:id="19942660">
                                                  <w:marLeft w:val="0"/>
                                                  <w:marRight w:val="0"/>
                                                  <w:marTop w:val="0"/>
                                                  <w:marBottom w:val="0"/>
                                                  <w:divBdr>
                                                    <w:top w:val="none" w:sz="0" w:space="0" w:color="auto"/>
                                                    <w:left w:val="none" w:sz="0" w:space="0" w:color="auto"/>
                                                    <w:bottom w:val="none" w:sz="0" w:space="0" w:color="auto"/>
                                                    <w:right w:val="none" w:sz="0" w:space="0" w:color="auto"/>
                                                  </w:divBdr>
                                                  <w:divsChild>
                                                    <w:div w:id="926504379">
                                                      <w:marLeft w:val="0"/>
                                                      <w:marRight w:val="0"/>
                                                      <w:marTop w:val="0"/>
                                                      <w:marBottom w:val="0"/>
                                                      <w:divBdr>
                                                        <w:top w:val="none" w:sz="0" w:space="0" w:color="auto"/>
                                                        <w:left w:val="none" w:sz="0" w:space="0" w:color="auto"/>
                                                        <w:bottom w:val="none" w:sz="0" w:space="0" w:color="auto"/>
                                                        <w:right w:val="none" w:sz="0" w:space="0" w:color="auto"/>
                                                      </w:divBdr>
                                                      <w:divsChild>
                                                        <w:div w:id="1113093607">
                                                          <w:marLeft w:val="0"/>
                                                          <w:marRight w:val="0"/>
                                                          <w:marTop w:val="0"/>
                                                          <w:marBottom w:val="0"/>
                                                          <w:divBdr>
                                                            <w:top w:val="none" w:sz="0" w:space="0" w:color="auto"/>
                                                            <w:left w:val="none" w:sz="0" w:space="0" w:color="auto"/>
                                                            <w:bottom w:val="none" w:sz="0" w:space="0" w:color="auto"/>
                                                            <w:right w:val="none" w:sz="0" w:space="0" w:color="auto"/>
                                                          </w:divBdr>
                                                          <w:divsChild>
                                                            <w:div w:id="16088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iminal.findlaw.com/criminal-rights/u-s-constitution-fifth-amend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supct/html/92-102.Z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ESCO Corporation</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Michelle A.</dc:creator>
  <cp:keywords/>
  <dc:description/>
  <cp:lastModifiedBy>Michelle White</cp:lastModifiedBy>
  <cp:revision>10</cp:revision>
  <cp:lastPrinted>2016-09-25T20:13:00Z</cp:lastPrinted>
  <dcterms:created xsi:type="dcterms:W3CDTF">2016-09-24T17:42:00Z</dcterms:created>
  <dcterms:modified xsi:type="dcterms:W3CDTF">2016-09-25T20:14:00Z</dcterms:modified>
</cp:coreProperties>
</file>